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C" w:rsidRPr="0074699F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370E6A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๒๔</w:t>
      </w:r>
      <w:r w:rsidR="003738E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–</w:t>
      </w:r>
      <w:r w:rsidR="00B50D03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๓</w:t>
      </w:r>
      <w:r w:rsidR="00370E6A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๐</w:t>
      </w:r>
      <w:r w:rsidR="00825C15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4C637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ต</w:t>
      </w:r>
      <w:r w:rsidR="007E1EC4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</w:t>
      </w:r>
      <w:r w:rsidR="004C637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ค</w:t>
      </w:r>
      <w:r w:rsidR="00193C3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๒๕๕</w:t>
      </w:r>
      <w:r w:rsidR="00D7526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๘</w:t>
      </w:r>
      <w:r w:rsidR="007226FE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4D16A2" w:rsidRPr="0074699F" w:rsidRDefault="004D16A2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78566D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78566D" w:rsidRDefault="00F22160" w:rsidP="0078566D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856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</w:t>
            </w:r>
            <w:r w:rsidR="00B50D0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 w:rsidR="0078566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ของสำนักงานราช</w:t>
            </w:r>
            <w:proofErr w:type="spellStart"/>
            <w:r w:rsidR="0078566D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 w:rsidR="00785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ครั้งที่ </w:t>
            </w:r>
            <w:r w:rsidR="00370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๒๕/๒๕๕๘ วันจันทร์ที่ ๒๖</w:t>
            </w:r>
            <w:r w:rsidR="00785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 ๒๕๕๘</w:t>
            </w:r>
          </w:p>
          <w:p w:rsidR="00B50D03" w:rsidRDefault="00B50D03" w:rsidP="00B50D03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566D" w:rsidRDefault="0078566D" w:rsidP="0078566D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241F0B" w:rsidRPr="0074699F" w:rsidRDefault="00241F0B" w:rsidP="00F2216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B50D03" w:rsidRDefault="00B50D03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78566D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ติดตามผลการปฏิบัติราชการ</w:t>
            </w:r>
            <w:r w:rsidR="002E0AC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รายสัปดาห์และพิจารณาประเด็นสำคัญ</w:t>
            </w:r>
          </w:p>
          <w:p w:rsidR="00B50D03" w:rsidRDefault="00B50D03" w:rsidP="00B50D03">
            <w:p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7DDA" w:rsidRPr="00B50D03" w:rsidRDefault="0078566D" w:rsidP="00D64A11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ประชุมคณะกรรมการวิชาการตามปรกติ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(ผลการประชุมของวันที่ </w:t>
            </w:r>
            <w:r w:rsidR="00370E6A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70E6A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 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๕๘ ประชุมคณะกรรมการจำนวน</w:t>
            </w:r>
            <w:r w:rsidR="00B50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0C39"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  <w:r w:rsidR="00B50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 </w:t>
            </w:r>
            <w:r w:rsidR="00220C39">
              <w:rPr>
                <w:rFonts w:ascii="TH SarabunPSK" w:hAnsi="TH SarabunPSK" w:cs="TH SarabunPSK" w:hint="cs"/>
                <w:sz w:val="32"/>
                <w:szCs w:val="32"/>
                <w:cs/>
              </w:rPr>
              <w:t>๙๗๕</w:t>
            </w:r>
            <w:r w:rsidR="00B50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คำ/เรื่อง)</w:t>
            </w:r>
            <w:bookmarkStart w:id="0" w:name="_GoBack"/>
            <w:bookmarkEnd w:id="0"/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FD36B6" w:rsidRPr="004D1DDE" w:rsidRDefault="000E036B" w:rsidP="00FD36B6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เผยแพร่รายการโทรทัศน์ “แมวเหมียวเล่าเรื่องไทย” ออกอากาศทางสถานีโทรทัศน์ไทยพีบี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เอส</w:t>
            </w:r>
            <w:proofErr w:type="spellEnd"/>
          </w:p>
          <w:p w:rsidR="00C111E7" w:rsidRPr="001A7CE5" w:rsidRDefault="00F01285" w:rsidP="00C111E7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  <w:r w:rsidR="001A7C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๙๒.๕,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๙๓.๕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๙๕.๕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๙๗ และ ๑๐๕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เอ </w:t>
            </w:r>
            <w:proofErr w:type="spellStart"/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เอ็ม</w:t>
            </w:r>
            <w:proofErr w:type="spellEnd"/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๘๑๙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๘๓๗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๙๑๘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F4708D" w:rsidRPr="001F053D" w:rsidRDefault="00CE78F2" w:rsidP="00F4708D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(ระบบ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๙๒.๕, ๙๓.๕, ๙๕.๕, ๙๗ และ ๑๐๕ เม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๘๑๙, ๘๓๗, ๘๙๑ และ ๙๑๘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4D1DDE" w:rsidRPr="00F4708D" w:rsidRDefault="00033E4C" w:rsidP="004D1DD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5801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</w:t>
            </w:r>
            <w:proofErr w:type="spellStart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บางเขน ระบบ เอ </w:t>
            </w:r>
            <w:proofErr w:type="spellStart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๑,๑๐๗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เชียงใหม่ ระบบ เอ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ที่ความถี่ ๖๑๒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ขอนแก่น ระบบเอ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๑,๓๑๔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สงขลา ระบบเอ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๑,๒๖๙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5631" w:rsidRPr="00B44811" w:rsidRDefault="00033E4C" w:rsidP="00BC5631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 w:rsidR="00D93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6A3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บางเขน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๑,๑๐๗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เชียงใหม่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๖๑๒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ขอนแก่น ระบบเอ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๑,๓๑๔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สงขลา ระบบเอ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๑,๒๖๙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Pr="004D1DDE" w:rsidRDefault="007F289C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</w:t>
            </w:r>
            <w:r w:rsidR="004D7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อาเซียน” ออกอากาศทางสถานีวิทยุกระจายเสียงแห่งประเทศไทย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(ระบบ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๙๒.๕, ๙๓.๕, ๙๕.๕, ๙๗ และ ๑๐๕ เม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๘๑๙, ๘๓๗, ๘๙๑ และ ๙๑๘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701E3F" w:rsidRDefault="007F289C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เผยแพร่รายการวิทยุ “คลังความรู้คู่แผ่นดิน” ออกอากาศ</w:t>
            </w:r>
          </w:p>
          <w:p w:rsidR="00FD36B6" w:rsidRDefault="007F289C" w:rsidP="00701E3F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 w:rsidR="00A35A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กะเฮิร์ตซ์</w:t>
            </w:r>
            <w:proofErr w:type="spellEnd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และภาคเอ</w:t>
            </w:r>
            <w:proofErr w:type="spellStart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Pr="004D1DDE" w:rsidRDefault="00D427DE" w:rsidP="00FD36B6">
            <w:pPr>
              <w:pStyle w:val="a4"/>
              <w:numPr>
                <w:ilvl w:val="0"/>
                <w:numId w:val="2"/>
              </w:numPr>
              <w:ind w:left="317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“เพลินภาษาในอาเซียน” ออกอากาศทางสถานีวิทยุกระจายเสียงแห่งมหาวิทยาลัยเกษตรศาสตร์</w:t>
            </w:r>
            <w:r w:rsidR="00A97C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บางเขน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๑,๑๐๗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เชียงใหม่ ระบบ 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๖๑๒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ขอนแก่น ระบบเอ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๑,๓๑๔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สงขลา ระบบเอ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๑,๒๖๙ กิโล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เฮิร์ตซ์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Pr="004D1DDE" w:rsidRDefault="00F01285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="004D1DDE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6B118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B1041A" w:rsidRPr="006974AF" w:rsidRDefault="00332466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="00307936"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</w:tc>
        <w:tc>
          <w:tcPr>
            <w:tcW w:w="1541" w:type="pct"/>
          </w:tcPr>
          <w:p w:rsidR="00FD36B6" w:rsidRPr="004D1DDE" w:rsidRDefault="00D427DE" w:rsidP="00FD36B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ออกอากาศวันเสาร์ที่ </w:t>
            </w:r>
            <w:r w:rsidR="00370E6A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D919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370E6A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0E03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02E8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="009214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E03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๒๕๕๘ เวลา ๑๓.๐๐-๑๓.๐๒ น.</w:t>
            </w:r>
          </w:p>
          <w:p w:rsidR="005D5816" w:rsidRDefault="004E047F" w:rsidP="005D581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ออกอากาศตามปรกติ ในช่วงข่าวภาคเช้า (๐๗.๐๐ น.) และข่าวภาคเที่ยง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C111E7" w:rsidRDefault="00C111E7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Pr="004D1DDE" w:rsidRDefault="001A7CE5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1C" w:rsidRDefault="00CE78F2" w:rsidP="00E52E1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="00A45EC6"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5EC6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1EB" w:rsidRP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1DDE" w:rsidRDefault="00921456" w:rsidP="004D1DD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</w:t>
            </w:r>
            <w:r w:rsidR="00033E4C"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คือ ๑๐.๓๐-๑๐.๔๕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6A3109" w:rsidRDefault="00D35CBE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033E4C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="00F4708D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 w:rsidR="00F47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BC5631" w:rsidRDefault="00BC5631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Pr="004D1DDE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8052E9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370E6A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</w:t>
            </w:r>
            <w:r w:rsidR="00D427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0E6A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02E8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BE41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102E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๕๘ เวลา ๑๓.๐๐-๑๓.๐๕ น.</w:t>
            </w: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89C" w:rsidRDefault="00D427DE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ออกอากาศในวันเสาร์ที่ </w:t>
            </w:r>
            <w:r w:rsidR="00370E6A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02E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๒๕๕๘ เวลา ๒๐.๓๐-</w:t>
            </w:r>
            <w:r w:rsidR="000E036B"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๒๑.๐๐ น.</w:t>
            </w:r>
          </w:p>
          <w:p w:rsidR="00FD36B6" w:rsidRDefault="00FD36B6" w:rsidP="002C2352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D427DE" w:rsidP="00FD36B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 ๓ ช่วง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๘.๕๕ น., ๑๑.๓๐ น. และ ๑๕.๐๕ น.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1A7CE5" w:rsidRPr="001A7CE5" w:rsidRDefault="001A7CE5" w:rsidP="001A7CE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Pr="004D1DDE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352" w:rsidRDefault="00B83F82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</w:t>
            </w:r>
            <w:r w:rsidR="005F2DAA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BE5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9DE"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B555B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07936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905BFB" w:rsidRPr="00E52E1C" w:rsidRDefault="007114A4" w:rsidP="00D64A11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="005B65CE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 จำนวน</w:t>
            </w:r>
            <w:r w:rsidR="008951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0C39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8951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</w:t>
            </w:r>
          </w:p>
        </w:tc>
      </w:tr>
      <w:tr w:rsidR="0074699F" w:rsidRPr="0074699F" w:rsidTr="006974AF">
        <w:trPr>
          <w:trHeight w:val="685"/>
        </w:trPr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4D16A2" w:rsidRPr="0074699F" w:rsidRDefault="00FD7BCD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2DAA" w:rsidRPr="0074699F" w:rsidRDefault="005F2DA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4D16A2" w:rsidRPr="0074699F" w:rsidRDefault="00A21E97" w:rsidP="00A21E9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2A0C3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A22AE" wp14:editId="3D816223">
                                  <wp:extent cx="1457325" cy="295275"/>
                                  <wp:effectExtent l="0" t="0" r="9525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 assoc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80" t="24533" r="6780" b="-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2A0C3A" w:rsidP="002A0C3A">
                      <w:r>
                        <w:rPr>
                          <w:noProof/>
                        </w:rPr>
                        <w:drawing>
                          <wp:inline distT="0" distB="0" distL="0" distR="0" wp14:anchorId="4FB3C46E" wp14:editId="3E838B0E">
                            <wp:extent cx="1457325" cy="295275"/>
                            <wp:effectExtent l="0" t="0" r="9525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 assoc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80" t="24533" r="6780" b="-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7325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661DC7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053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1F053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1F053D">
        <w:rPr>
          <w:rFonts w:ascii="TH SarabunPSK" w:hAnsi="TH SarabunPSK" w:cs="TH SarabunPSK" w:hint="cs"/>
          <w:sz w:val="32"/>
          <w:szCs w:val="32"/>
          <w:cs/>
        </w:rPr>
        <w:t xml:space="preserve">ศักดิ์  </w:t>
      </w:r>
      <w:proofErr w:type="spellStart"/>
      <w:r w:rsidR="001F053D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1F053D">
        <w:rPr>
          <w:rFonts w:ascii="TH SarabunPSK" w:hAnsi="TH SarabunPSK" w:cs="TH SarabunPSK" w:hint="cs"/>
          <w:sz w:val="32"/>
          <w:szCs w:val="32"/>
          <w:cs/>
        </w:rPr>
        <w:t>ริวงษ์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1F053D" w:rsidRDefault="001F053D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รองเลขาธิการ รักษาราชการแทน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C2092"/>
    <w:rsid w:val="000D0C6B"/>
    <w:rsid w:val="000D0EE9"/>
    <w:rsid w:val="000D5CB6"/>
    <w:rsid w:val="000E02AF"/>
    <w:rsid w:val="000E036B"/>
    <w:rsid w:val="000E220F"/>
    <w:rsid w:val="000E5A10"/>
    <w:rsid w:val="000E7534"/>
    <w:rsid w:val="000F034A"/>
    <w:rsid w:val="000F2097"/>
    <w:rsid w:val="000F6C98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86E7C"/>
    <w:rsid w:val="0019247C"/>
    <w:rsid w:val="00193BC2"/>
    <w:rsid w:val="00193C37"/>
    <w:rsid w:val="00194A6C"/>
    <w:rsid w:val="00195D50"/>
    <w:rsid w:val="00197483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24818"/>
    <w:rsid w:val="00627E5E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35AAD"/>
    <w:rsid w:val="00A45EC6"/>
    <w:rsid w:val="00A4638F"/>
    <w:rsid w:val="00A701B8"/>
    <w:rsid w:val="00A72652"/>
    <w:rsid w:val="00A742D2"/>
    <w:rsid w:val="00A87C0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4763"/>
    <w:rsid w:val="00F42CDE"/>
    <w:rsid w:val="00F44658"/>
    <w:rsid w:val="00F4708D"/>
    <w:rsid w:val="00F47827"/>
    <w:rsid w:val="00F47B24"/>
    <w:rsid w:val="00F47CF6"/>
    <w:rsid w:val="00F602D4"/>
    <w:rsid w:val="00F607A2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605A-DFF1-4752-836F-0F871B3D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365</cp:revision>
  <cp:lastPrinted>2015-10-16T02:32:00Z</cp:lastPrinted>
  <dcterms:created xsi:type="dcterms:W3CDTF">2014-08-28T04:09:00Z</dcterms:created>
  <dcterms:modified xsi:type="dcterms:W3CDTF">2015-11-02T01:57:00Z</dcterms:modified>
</cp:coreProperties>
</file>